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83EA7" w14:textId="2C3AA59F" w:rsidR="00644EB3" w:rsidRPr="001D4BF4" w:rsidRDefault="00053AF9" w:rsidP="00644EB3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MS Mincho" w:hAnsi="Arial"/>
        </w:rPr>
        <w:cr/>
      </w:r>
      <w:r w:rsidR="00644EB3" w:rsidRPr="001D4BF4">
        <w:rPr>
          <w:rFonts w:ascii="Arial" w:hAnsi="Arial" w:cs="Arial"/>
          <w:sz w:val="28"/>
          <w:szCs w:val="28"/>
        </w:rPr>
        <w:t xml:space="preserve">Antworten zu den Übungsfragen im Lehrbuch „Pflanzenzüchtung“ von Heiko Becker (Ulmer Verlage, </w:t>
      </w:r>
      <w:r w:rsidR="00FF02A2">
        <w:rPr>
          <w:rFonts w:ascii="Arial" w:hAnsi="Arial" w:cs="Arial"/>
          <w:sz w:val="28"/>
          <w:szCs w:val="28"/>
        </w:rPr>
        <w:t>2019, 3.</w:t>
      </w:r>
      <w:r w:rsidR="00644EB3" w:rsidRPr="001D4BF4">
        <w:rPr>
          <w:rFonts w:ascii="Arial" w:hAnsi="Arial" w:cs="Arial"/>
          <w:sz w:val="28"/>
          <w:szCs w:val="28"/>
        </w:rPr>
        <w:t xml:space="preserve"> Auflage)</w:t>
      </w:r>
    </w:p>
    <w:p w14:paraId="2E187592" w14:textId="77777777" w:rsidR="00644EB3" w:rsidRPr="001D4BF4" w:rsidRDefault="00644EB3" w:rsidP="00644EB3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B6320E7" w14:textId="77777777" w:rsidR="00053AF9" w:rsidRPr="00644EB3" w:rsidRDefault="00053AF9">
      <w:pPr>
        <w:pStyle w:val="NurText"/>
        <w:rPr>
          <w:rFonts w:ascii="Arial" w:eastAsia="MS Mincho" w:hAnsi="Arial"/>
          <w:bCs/>
          <w:sz w:val="28"/>
        </w:rPr>
      </w:pPr>
      <w:r w:rsidRPr="00644EB3">
        <w:rPr>
          <w:rFonts w:ascii="Arial" w:eastAsia="MS Mincho" w:hAnsi="Arial"/>
          <w:bCs/>
          <w:sz w:val="28"/>
        </w:rPr>
        <w:t>Kapitel 11  Kreuzung, Rückkreuzung, Protoplastenfusion</w:t>
      </w:r>
    </w:p>
    <w:p w14:paraId="24F226F8" w14:textId="77777777" w:rsidR="00053AF9" w:rsidRDefault="00053AF9">
      <w:pPr>
        <w:pStyle w:val="NurText"/>
        <w:rPr>
          <w:rFonts w:ascii="Arial" w:eastAsia="MS Mincho" w:hAnsi="Arial"/>
          <w:sz w:val="24"/>
        </w:rPr>
      </w:pPr>
    </w:p>
    <w:p w14:paraId="78CDC50B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1.</w:t>
      </w:r>
    </w:p>
    <w:p w14:paraId="090D25BE" w14:textId="60F0971B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 xml:space="preserve">siehe Tabelle </w:t>
      </w:r>
      <w:r w:rsidR="00FF02A2">
        <w:rPr>
          <w:rFonts w:ascii="Arial" w:eastAsia="MS Mincho" w:hAnsi="Arial"/>
          <w:sz w:val="28"/>
          <w:szCs w:val="28"/>
        </w:rPr>
        <w:t>11.1</w:t>
      </w:r>
      <w:r w:rsidRPr="00644EB3">
        <w:rPr>
          <w:rFonts w:ascii="Arial" w:eastAsia="MS Mincho" w:hAnsi="Arial"/>
          <w:sz w:val="28"/>
          <w:szCs w:val="28"/>
        </w:rPr>
        <w:t>: Anzahl möglicher Genotypen 3</w:t>
      </w:r>
      <w:r w:rsidRPr="00644EB3">
        <w:rPr>
          <w:rFonts w:ascii="Arial" w:eastAsia="MS Mincho" w:hAnsi="Arial"/>
          <w:sz w:val="28"/>
          <w:szCs w:val="28"/>
          <w:vertAlign w:val="superscript"/>
        </w:rPr>
        <w:t>n</w:t>
      </w:r>
      <w:r w:rsidRPr="00644EB3">
        <w:rPr>
          <w:rFonts w:ascii="Arial" w:eastAsia="MS Mincho" w:hAnsi="Arial"/>
          <w:sz w:val="28"/>
          <w:szCs w:val="28"/>
        </w:rPr>
        <w:t>, also 729; Anzahl verschiedener homozy</w:t>
      </w:r>
      <w:r w:rsidR="00644EB3">
        <w:rPr>
          <w:rFonts w:ascii="Arial" w:eastAsia="MS Mincho" w:hAnsi="Arial"/>
          <w:sz w:val="28"/>
          <w:szCs w:val="28"/>
        </w:rPr>
        <w:t>go</w:t>
      </w:r>
      <w:r w:rsidRPr="00644EB3">
        <w:rPr>
          <w:rFonts w:ascii="Arial" w:eastAsia="MS Mincho" w:hAnsi="Arial"/>
          <w:sz w:val="28"/>
          <w:szCs w:val="28"/>
        </w:rPr>
        <w:t>ter Genotypen 2</w:t>
      </w:r>
      <w:r w:rsidRPr="00644EB3">
        <w:rPr>
          <w:rFonts w:ascii="Arial" w:eastAsia="MS Mincho" w:hAnsi="Arial"/>
          <w:sz w:val="28"/>
          <w:szCs w:val="28"/>
          <w:vertAlign w:val="superscript"/>
        </w:rPr>
        <w:t>n</w:t>
      </w:r>
      <w:r w:rsidRPr="00644EB3">
        <w:rPr>
          <w:rFonts w:ascii="Arial" w:eastAsia="MS Mincho" w:hAnsi="Arial"/>
          <w:sz w:val="28"/>
          <w:szCs w:val="28"/>
        </w:rPr>
        <w:t>, also 64.</w:t>
      </w:r>
    </w:p>
    <w:p w14:paraId="586DAF7B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</w:p>
    <w:p w14:paraId="02F1EA23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2.</w:t>
      </w:r>
    </w:p>
    <w:p w14:paraId="15AFFC23" w14:textId="08E1D88E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 xml:space="preserve">Wie Abb. </w:t>
      </w:r>
      <w:r w:rsidR="00FF02A2">
        <w:rPr>
          <w:rFonts w:ascii="Arial" w:eastAsia="MS Mincho" w:hAnsi="Arial"/>
          <w:sz w:val="28"/>
          <w:szCs w:val="28"/>
        </w:rPr>
        <w:t>11.3</w:t>
      </w:r>
      <w:r w:rsidRPr="00644EB3">
        <w:rPr>
          <w:rFonts w:ascii="Arial" w:eastAsia="MS Mincho" w:hAnsi="Arial"/>
          <w:sz w:val="28"/>
          <w:szCs w:val="28"/>
        </w:rPr>
        <w:t xml:space="preserve"> zeigt, stammen nach der ersten Rückkreuzung im Mittel 25% der Allele vom </w:t>
      </w:r>
      <w:proofErr w:type="spellStart"/>
      <w:r w:rsidRPr="00644EB3">
        <w:rPr>
          <w:rFonts w:ascii="Arial" w:eastAsia="MS Mincho" w:hAnsi="Arial"/>
          <w:sz w:val="28"/>
          <w:szCs w:val="28"/>
        </w:rPr>
        <w:t>Donor</w:t>
      </w:r>
      <w:proofErr w:type="spellEnd"/>
      <w:r w:rsidRPr="00644EB3">
        <w:rPr>
          <w:rFonts w:ascii="Arial" w:eastAsia="MS Mincho" w:hAnsi="Arial"/>
          <w:sz w:val="28"/>
          <w:szCs w:val="28"/>
        </w:rPr>
        <w:t xml:space="preserve">. Die Frage bezieht sich aber nicht auf die Häufigkeit der </w:t>
      </w:r>
      <w:proofErr w:type="spellStart"/>
      <w:r w:rsidRPr="00644EB3">
        <w:rPr>
          <w:rFonts w:ascii="Arial" w:eastAsia="MS Mincho" w:hAnsi="Arial"/>
          <w:sz w:val="28"/>
          <w:szCs w:val="28"/>
        </w:rPr>
        <w:t>Donorallele</w:t>
      </w:r>
      <w:proofErr w:type="spellEnd"/>
      <w:r w:rsidRPr="00644EB3">
        <w:rPr>
          <w:rFonts w:ascii="Arial" w:eastAsia="MS Mincho" w:hAnsi="Arial"/>
          <w:sz w:val="28"/>
          <w:szCs w:val="28"/>
        </w:rPr>
        <w:t xml:space="preserve"> in der Population, sondern geht von einer Betrachtung der einzelnen Rückkreuzungspflanzen aus. Wenn sich die Eltern in 1000 Allelen unterscheiden, ist jede F1-Pflanze für diese 1000 Allele heterozygot. Die Gameten der F1-Pflanzen haben im Durchschnitt dann 500 </w:t>
      </w:r>
      <w:proofErr w:type="spellStart"/>
      <w:r w:rsidRPr="00644EB3">
        <w:rPr>
          <w:rFonts w:ascii="Arial" w:eastAsia="MS Mincho" w:hAnsi="Arial"/>
          <w:sz w:val="28"/>
          <w:szCs w:val="28"/>
        </w:rPr>
        <w:t>Donorallele</w:t>
      </w:r>
      <w:proofErr w:type="spellEnd"/>
      <w:r w:rsidRPr="00644EB3">
        <w:rPr>
          <w:rFonts w:ascii="Arial" w:eastAsia="MS Mincho" w:hAnsi="Arial"/>
          <w:sz w:val="28"/>
          <w:szCs w:val="28"/>
        </w:rPr>
        <w:t xml:space="preserve">, und die Pflanzen in der ersten Rückkreuzungsgeneration sind daher im Durchschnitt </w:t>
      </w:r>
      <w:r w:rsidR="004C7BAB">
        <w:rPr>
          <w:rFonts w:ascii="Arial" w:eastAsia="MS Mincho" w:hAnsi="Arial"/>
          <w:sz w:val="28"/>
          <w:szCs w:val="28"/>
        </w:rPr>
        <w:t xml:space="preserve">an 500 Loci </w:t>
      </w:r>
      <w:r w:rsidRPr="00644EB3">
        <w:rPr>
          <w:rFonts w:ascii="Arial" w:eastAsia="MS Mincho" w:hAnsi="Arial"/>
          <w:sz w:val="28"/>
          <w:szCs w:val="28"/>
        </w:rPr>
        <w:t xml:space="preserve">für </w:t>
      </w:r>
      <w:r w:rsidR="004C7BAB">
        <w:rPr>
          <w:rFonts w:ascii="Arial" w:eastAsia="MS Mincho" w:hAnsi="Arial"/>
          <w:sz w:val="28"/>
          <w:szCs w:val="28"/>
        </w:rPr>
        <w:t>die A</w:t>
      </w:r>
      <w:r w:rsidRPr="00644EB3">
        <w:rPr>
          <w:rFonts w:ascii="Arial" w:eastAsia="MS Mincho" w:hAnsi="Arial"/>
          <w:sz w:val="28"/>
          <w:szCs w:val="28"/>
        </w:rPr>
        <w:t xml:space="preserve">llele heterozygot und </w:t>
      </w:r>
      <w:r w:rsidR="004C7BAB">
        <w:rPr>
          <w:rFonts w:ascii="Arial" w:eastAsia="MS Mincho" w:hAnsi="Arial"/>
          <w:sz w:val="28"/>
          <w:szCs w:val="28"/>
        </w:rPr>
        <w:t xml:space="preserve">an </w:t>
      </w:r>
      <w:r w:rsidRPr="00644EB3">
        <w:rPr>
          <w:rFonts w:ascii="Arial" w:eastAsia="MS Mincho" w:hAnsi="Arial"/>
          <w:sz w:val="28"/>
          <w:szCs w:val="28"/>
        </w:rPr>
        <w:t xml:space="preserve">500 </w:t>
      </w:r>
      <w:r w:rsidR="004C7BAB">
        <w:rPr>
          <w:rFonts w:ascii="Arial" w:eastAsia="MS Mincho" w:hAnsi="Arial"/>
          <w:sz w:val="28"/>
          <w:szCs w:val="28"/>
        </w:rPr>
        <w:t xml:space="preserve">Loci </w:t>
      </w:r>
      <w:r w:rsidRPr="00644EB3">
        <w:rPr>
          <w:rFonts w:ascii="Arial" w:eastAsia="MS Mincho" w:hAnsi="Arial"/>
          <w:sz w:val="28"/>
          <w:szCs w:val="28"/>
        </w:rPr>
        <w:t xml:space="preserve">homozygot </w:t>
      </w:r>
      <w:r w:rsidR="004C7BAB">
        <w:rPr>
          <w:rFonts w:ascii="Arial" w:eastAsia="MS Mincho" w:hAnsi="Arial"/>
          <w:sz w:val="28"/>
          <w:szCs w:val="28"/>
        </w:rPr>
        <w:t xml:space="preserve">(für das jeweilige Allel des </w:t>
      </w:r>
      <w:r w:rsidRPr="00644EB3">
        <w:rPr>
          <w:rFonts w:ascii="Arial" w:eastAsia="MS Mincho" w:hAnsi="Arial"/>
          <w:sz w:val="28"/>
          <w:szCs w:val="28"/>
        </w:rPr>
        <w:t>rekurrente</w:t>
      </w:r>
      <w:r w:rsidR="004C7BAB">
        <w:rPr>
          <w:rFonts w:ascii="Arial" w:eastAsia="MS Mincho" w:hAnsi="Arial"/>
          <w:sz w:val="28"/>
          <w:szCs w:val="28"/>
        </w:rPr>
        <w:t>n</w:t>
      </w:r>
      <w:r w:rsidRPr="00644EB3">
        <w:rPr>
          <w:rFonts w:ascii="Arial" w:eastAsia="MS Mincho" w:hAnsi="Arial"/>
          <w:sz w:val="28"/>
          <w:szCs w:val="28"/>
        </w:rPr>
        <w:t xml:space="preserve"> Elter</w:t>
      </w:r>
      <w:r w:rsidR="004C7BAB">
        <w:rPr>
          <w:rFonts w:ascii="Arial" w:eastAsia="MS Mincho" w:hAnsi="Arial"/>
          <w:sz w:val="28"/>
          <w:szCs w:val="28"/>
        </w:rPr>
        <w:t xml:space="preserve">s; </w:t>
      </w:r>
      <w:r w:rsidRPr="00644EB3">
        <w:rPr>
          <w:rFonts w:ascii="Arial" w:eastAsia="MS Mincho" w:hAnsi="Arial"/>
          <w:sz w:val="28"/>
          <w:szCs w:val="28"/>
        </w:rPr>
        <w:t xml:space="preserve">Abb. 11.4). Nach der ersten Rückkreuzung trägt daher eine Pflanze im Mittel 500 Allele des </w:t>
      </w:r>
      <w:proofErr w:type="spellStart"/>
      <w:r w:rsidRPr="00644EB3">
        <w:rPr>
          <w:rFonts w:ascii="Arial" w:eastAsia="MS Mincho" w:hAnsi="Arial"/>
          <w:sz w:val="28"/>
          <w:szCs w:val="28"/>
        </w:rPr>
        <w:t>Donors</w:t>
      </w:r>
      <w:proofErr w:type="spellEnd"/>
      <w:r w:rsidRPr="00644EB3">
        <w:rPr>
          <w:rFonts w:ascii="Arial" w:eastAsia="MS Mincho" w:hAnsi="Arial"/>
          <w:sz w:val="28"/>
          <w:szCs w:val="28"/>
        </w:rPr>
        <w:t xml:space="preserve">, allerdings stets heterozygot. Daraus ergibt sich die mittlere Frequenz der </w:t>
      </w:r>
      <w:proofErr w:type="spellStart"/>
      <w:r w:rsidRPr="00644EB3">
        <w:rPr>
          <w:rFonts w:ascii="Arial" w:eastAsia="MS Mincho" w:hAnsi="Arial"/>
          <w:sz w:val="28"/>
          <w:szCs w:val="28"/>
        </w:rPr>
        <w:t>Donorallele</w:t>
      </w:r>
      <w:proofErr w:type="spellEnd"/>
      <w:r w:rsidRPr="00644EB3">
        <w:rPr>
          <w:rFonts w:ascii="Arial" w:eastAsia="MS Mincho" w:hAnsi="Arial"/>
          <w:sz w:val="28"/>
          <w:szCs w:val="28"/>
        </w:rPr>
        <w:t xml:space="preserve"> von 25%.</w:t>
      </w:r>
    </w:p>
    <w:p w14:paraId="1B687FC5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</w:p>
    <w:p w14:paraId="12FA63C3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3.</w:t>
      </w:r>
    </w:p>
    <w:p w14:paraId="2AD1F659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siehe S. 196f</w:t>
      </w:r>
    </w:p>
    <w:p w14:paraId="53E48B3F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</w:p>
    <w:p w14:paraId="01BEE4B4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4.</w:t>
      </w:r>
    </w:p>
    <w:p w14:paraId="135887B0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 xml:space="preserve">im „Vordergrund“ steht das zu übertragende Gen bzw. die zu übertragenden Gene; den „Hintergrund“ bilden alle anderen Gene – selektiert wird also auf die </w:t>
      </w:r>
      <w:proofErr w:type="spellStart"/>
      <w:r w:rsidRPr="00644EB3">
        <w:rPr>
          <w:rFonts w:ascii="Arial" w:eastAsia="MS Mincho" w:hAnsi="Arial"/>
          <w:sz w:val="28"/>
          <w:szCs w:val="28"/>
        </w:rPr>
        <w:t>Donorallele</w:t>
      </w:r>
      <w:proofErr w:type="spellEnd"/>
      <w:r w:rsidRPr="00644EB3">
        <w:rPr>
          <w:rFonts w:ascii="Arial" w:eastAsia="MS Mincho" w:hAnsi="Arial"/>
          <w:sz w:val="28"/>
          <w:szCs w:val="28"/>
        </w:rPr>
        <w:t xml:space="preserve"> als Vordergrund und auf möglichst viele Gene des rekurrenten Eltern als Hintergrund  (vgl. S. 201f)</w:t>
      </w:r>
    </w:p>
    <w:p w14:paraId="465A2A8E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</w:p>
    <w:p w14:paraId="0C1F5C3C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5.</w:t>
      </w:r>
    </w:p>
    <w:p w14:paraId="2A222AB0" w14:textId="77777777" w:rsidR="00053AF9" w:rsidRPr="00644EB3" w:rsidRDefault="00053AF9">
      <w:pPr>
        <w:pStyle w:val="NurText"/>
        <w:numPr>
          <w:ilvl w:val="0"/>
          <w:numId w:val="8"/>
        </w:numPr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 xml:space="preserve">falsch; halbiert wird nur die Frequenz von nicht selektierten </w:t>
      </w:r>
      <w:proofErr w:type="spellStart"/>
      <w:r w:rsidRPr="00644EB3">
        <w:rPr>
          <w:rFonts w:ascii="Arial" w:eastAsia="MS Mincho" w:hAnsi="Arial"/>
          <w:sz w:val="28"/>
          <w:szCs w:val="28"/>
        </w:rPr>
        <w:t>Donorallelen</w:t>
      </w:r>
      <w:proofErr w:type="spellEnd"/>
    </w:p>
    <w:p w14:paraId="7BCC60F3" w14:textId="77777777" w:rsidR="00053AF9" w:rsidRPr="00644EB3" w:rsidRDefault="00053AF9">
      <w:pPr>
        <w:pStyle w:val="NurText"/>
        <w:numPr>
          <w:ilvl w:val="0"/>
          <w:numId w:val="8"/>
        </w:numPr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richtig</w:t>
      </w:r>
    </w:p>
    <w:p w14:paraId="6AB04143" w14:textId="77777777" w:rsidR="00053AF9" w:rsidRPr="00644EB3" w:rsidRDefault="00053AF9">
      <w:pPr>
        <w:pStyle w:val="NurText"/>
        <w:numPr>
          <w:ilvl w:val="0"/>
          <w:numId w:val="8"/>
        </w:numPr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 xml:space="preserve">falsch; es sind nur Marker in der Umgebung des selektierten </w:t>
      </w:r>
      <w:proofErr w:type="spellStart"/>
      <w:r w:rsidRPr="00644EB3">
        <w:rPr>
          <w:rFonts w:ascii="Arial" w:eastAsia="MS Mincho" w:hAnsi="Arial"/>
          <w:sz w:val="28"/>
          <w:szCs w:val="28"/>
        </w:rPr>
        <w:t>Donorallels</w:t>
      </w:r>
      <w:proofErr w:type="spellEnd"/>
      <w:r w:rsidRPr="00644EB3">
        <w:rPr>
          <w:rFonts w:ascii="Arial" w:eastAsia="MS Mincho" w:hAnsi="Arial"/>
          <w:sz w:val="28"/>
          <w:szCs w:val="28"/>
        </w:rPr>
        <w:t xml:space="preserve"> notwendig</w:t>
      </w:r>
    </w:p>
    <w:p w14:paraId="06C49244" w14:textId="77777777" w:rsidR="00053AF9" w:rsidRPr="00644EB3" w:rsidRDefault="00053AF9">
      <w:pPr>
        <w:pStyle w:val="NurText"/>
        <w:numPr>
          <w:ilvl w:val="0"/>
          <w:numId w:val="8"/>
        </w:numPr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richtig</w:t>
      </w:r>
    </w:p>
    <w:p w14:paraId="3E2BF5E6" w14:textId="77777777" w:rsidR="00053AF9" w:rsidRPr="00644EB3" w:rsidRDefault="00053AF9">
      <w:pPr>
        <w:pStyle w:val="NurText"/>
        <w:numPr>
          <w:ilvl w:val="0"/>
          <w:numId w:val="8"/>
        </w:numPr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 xml:space="preserve">falsch; durch Sequenzinformationen können zwar leichter molekulare Marker entwickelt werden, dies ändert aber nichts an dem Problem, dass Rekombinationen in der Nähe des selektierten </w:t>
      </w:r>
      <w:proofErr w:type="spellStart"/>
      <w:r w:rsidRPr="00644EB3">
        <w:rPr>
          <w:rFonts w:ascii="Arial" w:eastAsia="MS Mincho" w:hAnsi="Arial"/>
          <w:sz w:val="28"/>
          <w:szCs w:val="28"/>
        </w:rPr>
        <w:t>Donorallels</w:t>
      </w:r>
      <w:proofErr w:type="spellEnd"/>
      <w:r w:rsidRPr="00644EB3">
        <w:rPr>
          <w:rFonts w:ascii="Arial" w:eastAsia="MS Mincho" w:hAnsi="Arial"/>
          <w:sz w:val="28"/>
          <w:szCs w:val="28"/>
        </w:rPr>
        <w:t xml:space="preserve"> selten bleiben.</w:t>
      </w:r>
    </w:p>
    <w:p w14:paraId="37853F10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</w:p>
    <w:p w14:paraId="0DD11FBC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 xml:space="preserve">6. </w:t>
      </w:r>
    </w:p>
    <w:p w14:paraId="2ABB1763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siehe S. 203</w:t>
      </w:r>
    </w:p>
    <w:p w14:paraId="667CEB42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</w:p>
    <w:p w14:paraId="615A28F4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7.</w:t>
      </w:r>
    </w:p>
    <w:p w14:paraId="5AE1FAA5" w14:textId="77777777" w:rsidR="00053AF9" w:rsidRPr="00644EB3" w:rsidRDefault="00053AF9">
      <w:pPr>
        <w:pStyle w:val="NurText"/>
        <w:numPr>
          <w:ilvl w:val="0"/>
          <w:numId w:val="9"/>
        </w:numPr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richtig</w:t>
      </w:r>
    </w:p>
    <w:p w14:paraId="2A597C43" w14:textId="77777777" w:rsidR="00053AF9" w:rsidRPr="00644EB3" w:rsidRDefault="00053AF9">
      <w:pPr>
        <w:pStyle w:val="NurText"/>
        <w:numPr>
          <w:ilvl w:val="0"/>
          <w:numId w:val="9"/>
        </w:numPr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richtig</w:t>
      </w:r>
    </w:p>
    <w:p w14:paraId="4600D488" w14:textId="77777777" w:rsidR="00053AF9" w:rsidRPr="00644EB3" w:rsidRDefault="00053AF9">
      <w:pPr>
        <w:pStyle w:val="NurText"/>
        <w:numPr>
          <w:ilvl w:val="0"/>
          <w:numId w:val="9"/>
        </w:numPr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falsch; genauso wie bei einer sexuellen Kreuzung können Eigenschaften der Eltern kombiniert werden ohne dass die zugrundeliegenden Gene bekannt sein müssen</w:t>
      </w:r>
    </w:p>
    <w:p w14:paraId="28E6361B" w14:textId="77777777" w:rsidR="00053AF9" w:rsidRPr="00644EB3" w:rsidRDefault="00053AF9">
      <w:pPr>
        <w:pStyle w:val="NurText"/>
        <w:numPr>
          <w:ilvl w:val="0"/>
          <w:numId w:val="9"/>
        </w:numPr>
        <w:rPr>
          <w:rFonts w:ascii="Arial" w:eastAsia="MS Mincho" w:hAnsi="Arial"/>
          <w:sz w:val="28"/>
          <w:szCs w:val="28"/>
        </w:rPr>
      </w:pPr>
      <w:r w:rsidRPr="00644EB3">
        <w:rPr>
          <w:rFonts w:ascii="Arial" w:eastAsia="MS Mincho" w:hAnsi="Arial"/>
          <w:sz w:val="28"/>
          <w:szCs w:val="28"/>
        </w:rPr>
        <w:t>richtig</w:t>
      </w:r>
    </w:p>
    <w:p w14:paraId="22B67557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</w:p>
    <w:p w14:paraId="4CC041AD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</w:p>
    <w:p w14:paraId="06A47719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</w:p>
    <w:p w14:paraId="6E79A71D" w14:textId="77777777" w:rsidR="00053AF9" w:rsidRPr="00644EB3" w:rsidRDefault="00053AF9">
      <w:pPr>
        <w:pStyle w:val="NurText"/>
        <w:rPr>
          <w:rFonts w:ascii="Arial" w:eastAsia="MS Mincho" w:hAnsi="Arial"/>
          <w:sz w:val="28"/>
          <w:szCs w:val="28"/>
        </w:rPr>
      </w:pPr>
    </w:p>
    <w:sectPr w:rsidR="00053AF9" w:rsidRPr="00644EB3">
      <w:pgSz w:w="11906" w:h="16838"/>
      <w:pgMar w:top="1417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Thorndale Duospace WT S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B94"/>
    <w:multiLevelType w:val="hybridMultilevel"/>
    <w:tmpl w:val="DEB2077A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71706"/>
    <w:multiLevelType w:val="hybridMultilevel"/>
    <w:tmpl w:val="2F4018F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8399F"/>
    <w:multiLevelType w:val="hybridMultilevel"/>
    <w:tmpl w:val="FEDAB72A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315A3"/>
    <w:multiLevelType w:val="hybridMultilevel"/>
    <w:tmpl w:val="10A4BC5E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4D2003"/>
    <w:multiLevelType w:val="hybridMultilevel"/>
    <w:tmpl w:val="0108DFD2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780524"/>
    <w:multiLevelType w:val="hybridMultilevel"/>
    <w:tmpl w:val="F8768FF0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43050A"/>
    <w:multiLevelType w:val="hybridMultilevel"/>
    <w:tmpl w:val="833C0A9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F308F"/>
    <w:multiLevelType w:val="hybridMultilevel"/>
    <w:tmpl w:val="E342DB42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D7654"/>
    <w:multiLevelType w:val="hybridMultilevel"/>
    <w:tmpl w:val="46BCE7D4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E7A20"/>
    <w:multiLevelType w:val="hybridMultilevel"/>
    <w:tmpl w:val="1762921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4A6905"/>
    <w:multiLevelType w:val="hybridMultilevel"/>
    <w:tmpl w:val="F52E997A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F163BD"/>
    <w:multiLevelType w:val="hybridMultilevel"/>
    <w:tmpl w:val="6E54F116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7A00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B7D65"/>
    <w:multiLevelType w:val="hybridMultilevel"/>
    <w:tmpl w:val="9F1A294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BB22FA"/>
    <w:multiLevelType w:val="hybridMultilevel"/>
    <w:tmpl w:val="F350FD42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3"/>
  </w:num>
  <w:num w:numId="5">
    <w:abstractNumId w:val="10"/>
  </w:num>
  <w:num w:numId="6">
    <w:abstractNumId w:val="5"/>
  </w:num>
  <w:num w:numId="7">
    <w:abstractNumId w:val="13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8"/>
  </w:num>
  <w:num w:numId="13">
    <w:abstractNumId w:val="7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ko Becker">
    <w15:presenceInfo w15:providerId="None" w15:userId="Heiko B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F9"/>
    <w:rsid w:val="00053AF9"/>
    <w:rsid w:val="00062F09"/>
    <w:rsid w:val="004C7BAB"/>
    <w:rsid w:val="00644EB3"/>
    <w:rsid w:val="00B816D3"/>
    <w:rsid w:val="00D62CD3"/>
    <w:rsid w:val="00DA5B14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E2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Kapitel 5  Resistenz und Toleranz</vt:lpstr>
    </vt:vector>
  </TitlesOfParts>
  <Company>Microsoft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5  Resistenz und Toleranz</dc:title>
  <dc:creator>MM</dc:creator>
  <cp:lastModifiedBy>QQQ</cp:lastModifiedBy>
  <cp:revision>2</cp:revision>
  <dcterms:created xsi:type="dcterms:W3CDTF">2021-06-15T14:57:00Z</dcterms:created>
  <dcterms:modified xsi:type="dcterms:W3CDTF">2021-06-15T14:57:00Z</dcterms:modified>
</cp:coreProperties>
</file>