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HelleListe"/>
        <w:tblW w:w="0" w:type="auto"/>
        <w:tblLook w:val="04A0" w:firstRow="1" w:lastRow="0" w:firstColumn="1" w:lastColumn="0" w:noHBand="0" w:noVBand="1"/>
      </w:tblPr>
      <w:tblGrid>
        <w:gridCol w:w="3844"/>
        <w:gridCol w:w="3852"/>
        <w:gridCol w:w="1592"/>
      </w:tblGrid>
      <w:tr w:rsidR="00AB3E84" w:rsidRPr="00E67ABF" w:rsidTr="008F1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3"/>
          </w:tcPr>
          <w:p w:rsidR="00AB3E84" w:rsidRPr="00E67ABF" w:rsidRDefault="00AB3E84" w:rsidP="008F1DEB">
            <w:pPr>
              <w:jc w:val="center"/>
              <w:rPr>
                <w:sz w:val="32"/>
                <w:szCs w:val="32"/>
              </w:rPr>
            </w:pPr>
            <w:r w:rsidRPr="00E67ABF">
              <w:rPr>
                <w:sz w:val="32"/>
                <w:szCs w:val="32"/>
              </w:rPr>
              <w:t>Schwerpunkt</w:t>
            </w:r>
            <w:r w:rsidR="00E67ABF" w:rsidRPr="00E67ABF">
              <w:rPr>
                <w:sz w:val="32"/>
                <w:szCs w:val="32"/>
              </w:rPr>
              <w:t>bereich</w:t>
            </w:r>
            <w:r w:rsidRPr="00E67ABF">
              <w:rPr>
                <w:sz w:val="32"/>
                <w:szCs w:val="32"/>
              </w:rPr>
              <w:t xml:space="preserve"> 7 (Arbe</w:t>
            </w:r>
            <w:r w:rsidR="00DD0DEC" w:rsidRPr="00E67ABF">
              <w:rPr>
                <w:sz w:val="32"/>
                <w:szCs w:val="32"/>
              </w:rPr>
              <w:t>its- und Sozialordnung</w:t>
            </w:r>
            <w:r w:rsidRPr="00E67ABF">
              <w:rPr>
                <w:sz w:val="32"/>
                <w:szCs w:val="32"/>
              </w:rPr>
              <w:t>)</w:t>
            </w:r>
          </w:p>
        </w:tc>
      </w:tr>
      <w:tr w:rsidR="00AB3E84" w:rsidTr="008F1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3"/>
            <w:tcBorders>
              <w:bottom w:val="nil"/>
            </w:tcBorders>
          </w:tcPr>
          <w:p w:rsidR="00AB3E84" w:rsidRDefault="00AB3E84" w:rsidP="008F1DEB">
            <w:pPr>
              <w:jc w:val="center"/>
              <w:rPr>
                <w:b w:val="0"/>
                <w:highlight w:val="lightGray"/>
              </w:rPr>
            </w:pPr>
          </w:p>
          <w:p w:rsidR="00AB3E84" w:rsidRPr="002637F0" w:rsidRDefault="00AB3E84" w:rsidP="008F1DEB">
            <w:pPr>
              <w:jc w:val="center"/>
              <w:rPr>
                <w:b w:val="0"/>
                <w:sz w:val="24"/>
                <w:szCs w:val="24"/>
                <w:highlight w:val="lightGray"/>
              </w:rPr>
            </w:pPr>
            <w:r w:rsidRPr="002637F0">
              <w:rPr>
                <w:b w:val="0"/>
                <w:sz w:val="24"/>
                <w:szCs w:val="24"/>
                <w:highlight w:val="lightGray"/>
              </w:rPr>
              <w:t>Unverbindliche</w:t>
            </w:r>
            <w:r w:rsidR="00523DD0">
              <w:rPr>
                <w:b w:val="0"/>
                <w:sz w:val="24"/>
                <w:szCs w:val="24"/>
                <w:highlight w:val="lightGray"/>
              </w:rPr>
              <w:t xml:space="preserve">r </w:t>
            </w:r>
            <w:r w:rsidRPr="002637F0">
              <w:rPr>
                <w:b w:val="0"/>
                <w:sz w:val="24"/>
                <w:szCs w:val="24"/>
                <w:highlight w:val="lightGray"/>
              </w:rPr>
              <w:t>Musterstundenpl</w:t>
            </w:r>
            <w:r w:rsidR="00523DD0">
              <w:rPr>
                <w:b w:val="0"/>
                <w:sz w:val="24"/>
                <w:szCs w:val="24"/>
                <w:highlight w:val="lightGray"/>
              </w:rPr>
              <w:t>a</w:t>
            </w:r>
            <w:r w:rsidRPr="002637F0">
              <w:rPr>
                <w:b w:val="0"/>
                <w:sz w:val="24"/>
                <w:szCs w:val="24"/>
                <w:highlight w:val="lightGray"/>
              </w:rPr>
              <w:t>n</w:t>
            </w:r>
            <w:r w:rsidR="00E67ABF">
              <w:rPr>
                <w:b w:val="0"/>
                <w:sz w:val="24"/>
                <w:szCs w:val="24"/>
                <w:highlight w:val="lightGray"/>
              </w:rPr>
              <w:br/>
            </w:r>
            <w:r w:rsidRPr="002637F0">
              <w:rPr>
                <w:b w:val="0"/>
                <w:sz w:val="24"/>
                <w:szCs w:val="24"/>
                <w:highlight w:val="lightGray"/>
              </w:rPr>
              <w:t>(letztlich sind alle Veranstaltungen frei miteinander kombinierbar)</w:t>
            </w:r>
          </w:p>
          <w:p w:rsidR="00AB3E84" w:rsidRPr="002637F0" w:rsidRDefault="00AB3E84" w:rsidP="008F1DEB">
            <w:pPr>
              <w:jc w:val="center"/>
              <w:rPr>
                <w:b w:val="0"/>
                <w:sz w:val="24"/>
                <w:szCs w:val="24"/>
                <w:highlight w:val="lightGray"/>
              </w:rPr>
            </w:pPr>
          </w:p>
          <w:p w:rsidR="00AB3E84" w:rsidRPr="002637F0" w:rsidRDefault="00AB3E84" w:rsidP="008F1DEB">
            <w:pPr>
              <w:jc w:val="center"/>
              <w:rPr>
                <w:b w:val="0"/>
                <w:sz w:val="24"/>
                <w:szCs w:val="24"/>
              </w:rPr>
            </w:pPr>
            <w:r w:rsidRPr="002637F0">
              <w:rPr>
                <w:b w:val="0"/>
                <w:sz w:val="24"/>
                <w:szCs w:val="24"/>
              </w:rPr>
              <w:t>Es müssen nicht jeweils alle Veranstaltungen gehört werden. Es werden nicht immer alle Veranstaltungen angeboten; weitere können hinzukommen.</w:t>
            </w:r>
          </w:p>
          <w:p w:rsidR="00AB3E84" w:rsidRPr="00340897" w:rsidRDefault="00AB3E84" w:rsidP="008F1DEB">
            <w:pPr>
              <w:jc w:val="center"/>
              <w:rPr>
                <w:b w:val="0"/>
              </w:rPr>
            </w:pPr>
          </w:p>
        </w:tc>
      </w:tr>
      <w:tr w:rsidR="00AB3E84" w:rsidTr="008F1D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nil"/>
              <w:bottom w:val="single" w:sz="8" w:space="0" w:color="000000" w:themeColor="text1"/>
            </w:tcBorders>
            <w:shd w:val="clear" w:color="auto" w:fill="000000" w:themeFill="text1"/>
          </w:tcPr>
          <w:p w:rsidR="00AB3E84" w:rsidRPr="00DA2913" w:rsidRDefault="00AB3E84" w:rsidP="00AB3E84">
            <w:pPr>
              <w:spacing w:after="120"/>
              <w:jc w:val="center"/>
              <w:rPr>
                <w:color w:val="FFFFFF" w:themeColor="background1"/>
              </w:rPr>
            </w:pPr>
            <w:r>
              <w:rPr>
                <w:rFonts w:cstheme="minorHAnsi"/>
                <w:i/>
                <w:sz w:val="24"/>
                <w:szCs w:val="24"/>
              </w:rPr>
              <w:t>Arbeitsrecht</w:t>
            </w:r>
          </w:p>
        </w:tc>
        <w:tc>
          <w:tcPr>
            <w:tcW w:w="4809" w:type="dxa"/>
            <w:tcBorders>
              <w:top w:val="nil"/>
              <w:bottom w:val="single" w:sz="8" w:space="0" w:color="000000" w:themeColor="text1"/>
            </w:tcBorders>
            <w:shd w:val="clear" w:color="auto" w:fill="000000" w:themeFill="text1"/>
          </w:tcPr>
          <w:p w:rsidR="00AB3E84" w:rsidRPr="00DA2913" w:rsidRDefault="00AB3E84" w:rsidP="00AB3E8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Sozialrecht</w:t>
            </w:r>
          </w:p>
        </w:tc>
        <w:tc>
          <w:tcPr>
            <w:tcW w:w="4809" w:type="dxa"/>
            <w:tcBorders>
              <w:top w:val="nil"/>
              <w:bottom w:val="single" w:sz="8" w:space="0" w:color="000000" w:themeColor="text1"/>
            </w:tcBorders>
            <w:shd w:val="clear" w:color="auto" w:fill="000000" w:themeFill="text1"/>
          </w:tcPr>
          <w:p w:rsidR="00AB3E84" w:rsidRPr="00DA2913" w:rsidRDefault="00AB3E84" w:rsidP="008F1D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AB3E84" w:rsidTr="00CB1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</w:tcPr>
          <w:p w:rsidR="00AB3E84" w:rsidRPr="002637F0" w:rsidRDefault="00AB3E84" w:rsidP="00AB3E84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Koalitions-, Tarif</w:t>
            </w:r>
            <w:r w:rsidR="002637F0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vertrags- und Arbeitskampfrecht</w:t>
            </w:r>
            <w:r w:rsidRPr="002637F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53A3A8" wp14:editId="5ABA172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97542</wp:posOffset>
                      </wp:positionV>
                      <wp:extent cx="715010" cy="1677725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167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E84" w:rsidRPr="00340897" w:rsidRDefault="00AB3E84" w:rsidP="00AB3E8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Wintersemester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3A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-5.35pt;margin-top:7.7pt;width:56.3pt;height:1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" filled="f" stroked="f">
                      <v:textbox style="layout-flow:vertical;mso-layout-flow-alt:bottom-to-top">
                        <w:txbxContent>
                          <w:p w:rsidR="00AB3E84" w:rsidRPr="00340897" w:rsidRDefault="00AB3E84" w:rsidP="00AB3E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Wintersemester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3E84" w:rsidRPr="002637F0" w:rsidRDefault="00AB3E84" w:rsidP="00AB3E84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Europäisches u</w:t>
            </w:r>
            <w:r w:rsidR="002637F0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nd Internationales Arbeitsrecht</w:t>
            </w:r>
          </w:p>
          <w:p w:rsidR="00AB3E84" w:rsidRPr="006C27BE" w:rsidRDefault="00AB3E84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Das Mandat im Arbeitsrecht</w:t>
            </w:r>
          </w:p>
          <w:p w:rsidR="006C27BE" w:rsidRPr="002637F0" w:rsidRDefault="006C27BE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Moot</w:t>
            </w:r>
            <w:proofErr w:type="spellEnd"/>
            <w:r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 xml:space="preserve"> Court mit Fahrt zum BAG</w:t>
            </w:r>
          </w:p>
          <w:p w:rsidR="00523DD0" w:rsidRPr="002637F0" w:rsidRDefault="00AB3E84" w:rsidP="00CB16AA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2637F0">
              <w:rPr>
                <w:rFonts w:cstheme="minorHAnsi"/>
                <w:b w:val="0"/>
                <w:sz w:val="24"/>
                <w:szCs w:val="24"/>
              </w:rPr>
              <w:t>Seminar</w:t>
            </w:r>
          </w:p>
        </w:tc>
        <w:tc>
          <w:tcPr>
            <w:tcW w:w="4809" w:type="dxa"/>
          </w:tcPr>
          <w:p w:rsidR="00523DD0" w:rsidRPr="0028125E" w:rsidRDefault="00AB3E84" w:rsidP="0028125E">
            <w:pPr>
              <w:pStyle w:val="Listenabsatz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637F0">
              <w:rPr>
                <w:rFonts w:cs="Tahoma"/>
                <w:sz w:val="24"/>
                <w:szCs w:val="24"/>
              </w:rPr>
              <w:t>Sozialrecht I</w:t>
            </w:r>
          </w:p>
          <w:p w:rsidR="0028125E" w:rsidRPr="0028125E" w:rsidRDefault="0028125E" w:rsidP="0028125E">
            <w:pPr>
              <w:pStyle w:val="Listenabsatz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="Tahoma"/>
                <w:sz w:val="24"/>
                <w:szCs w:val="24"/>
              </w:rPr>
              <w:t>Sozialrecht aus der richterlichen Perspektive</w:t>
            </w:r>
          </w:p>
          <w:p w:rsidR="0028125E" w:rsidRPr="002637F0" w:rsidRDefault="0028125E" w:rsidP="0028125E">
            <w:pPr>
              <w:pStyle w:val="Listenabsatz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="Tahoma"/>
                <w:sz w:val="24"/>
                <w:szCs w:val="24"/>
              </w:rPr>
              <w:t>Seminar</w:t>
            </w:r>
          </w:p>
        </w:tc>
        <w:tc>
          <w:tcPr>
            <w:tcW w:w="4809" w:type="dxa"/>
          </w:tcPr>
          <w:p w:rsidR="00AB3E84" w:rsidRPr="00CE3EC7" w:rsidRDefault="00AB3E84" w:rsidP="00AB3E84">
            <w:pPr>
              <w:pStyle w:val="Listenabsatz"/>
              <w:spacing w:after="120"/>
              <w:ind w:left="14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AB3E84" w:rsidTr="00CB16AA">
        <w:trPr>
          <w:trHeight w:val="4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tcBorders>
              <w:top w:val="single" w:sz="8" w:space="0" w:color="000000" w:themeColor="text1"/>
            </w:tcBorders>
          </w:tcPr>
          <w:p w:rsidR="00AB3E84" w:rsidRPr="002637F0" w:rsidRDefault="00AB3E84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Verti</w:t>
            </w:r>
            <w:r w:rsidR="002637F0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efung im Individualarbeitsrecht</w:t>
            </w:r>
            <w:r w:rsidRPr="002637F0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16488C" wp14:editId="61E9EA7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207645</wp:posOffset>
                      </wp:positionV>
                      <wp:extent cx="715010" cy="1677670"/>
                      <wp:effectExtent l="0" t="0" r="0" b="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010" cy="1677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E84" w:rsidRPr="00340897" w:rsidRDefault="00AB3E84" w:rsidP="00AB3E8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Sommersemester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488C" id="_x0000_s1027" type="#_x0000_t202" style="position:absolute;left:0;text-align:left;margin-left:-5.2pt;margin-top:16.35pt;width:56.3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" filled="f" stroked="f">
                      <v:textbox style="layout-flow:vertical;mso-layout-flow-alt:bottom-to-top">
                        <w:txbxContent>
                          <w:p w:rsidR="00AB3E84" w:rsidRPr="00340897" w:rsidRDefault="00AB3E84" w:rsidP="00AB3E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Sommersemester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3E84" w:rsidRPr="002637F0" w:rsidRDefault="00AB3E84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Betriebliche und</w:t>
            </w:r>
            <w:r w:rsidR="002637F0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 xml:space="preserve"> unternehmerische Mitbestimmung</w:t>
            </w:r>
          </w:p>
          <w:p w:rsidR="00AB3E84" w:rsidRPr="002637F0" w:rsidRDefault="00066BD7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rFonts w:cstheme="minorHAnsi"/>
                <w:b w:val="0"/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Grundzüge des Kapitalgesellschafts</w:t>
            </w:r>
            <w:r w:rsidR="003A7BFE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-</w:t>
            </w:r>
            <w:r w:rsidR="002637F0"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rechts</w:t>
            </w:r>
          </w:p>
          <w:p w:rsidR="00066BD7" w:rsidRPr="002637F0" w:rsidRDefault="00066BD7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Arbeitsrecht</w:t>
            </w:r>
            <w:r w:rsidR="00E10F2B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 xml:space="preserve"> in der gerichtlichen Praxis</w:t>
            </w:r>
          </w:p>
          <w:p w:rsidR="00066BD7" w:rsidRPr="002637F0" w:rsidRDefault="00066BD7" w:rsidP="008F1DEB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Arbeitsrecht in Restrukturierung und Insolvenz</w:t>
            </w:r>
          </w:p>
          <w:p w:rsidR="00AB3E84" w:rsidRPr="002637F0" w:rsidRDefault="00066BD7" w:rsidP="00CB16AA">
            <w:pPr>
              <w:pStyle w:val="Listenabsatz"/>
              <w:numPr>
                <w:ilvl w:val="1"/>
                <w:numId w:val="1"/>
              </w:numPr>
              <w:spacing w:after="120"/>
              <w:ind w:left="1434" w:hanging="357"/>
              <w:rPr>
                <w:sz w:val="24"/>
                <w:szCs w:val="24"/>
              </w:rPr>
            </w:pPr>
            <w:bookmarkStart w:id="0" w:name="_GoBack"/>
            <w:bookmarkEnd w:id="0"/>
            <w:r w:rsidRPr="002637F0">
              <w:rPr>
                <w:rFonts w:ascii="Calibri" w:eastAsia="Times New Roman" w:hAnsi="Calibri" w:cs="Tahoma"/>
                <w:b w:val="0"/>
                <w:bCs w:val="0"/>
                <w:sz w:val="24"/>
                <w:szCs w:val="24"/>
              </w:rPr>
              <w:t>Seminar</w:t>
            </w:r>
          </w:p>
        </w:tc>
        <w:tc>
          <w:tcPr>
            <w:tcW w:w="4809" w:type="dxa"/>
            <w:tcBorders>
              <w:top w:val="single" w:sz="8" w:space="0" w:color="000000" w:themeColor="text1"/>
            </w:tcBorders>
          </w:tcPr>
          <w:p w:rsidR="0028125E" w:rsidRPr="0028125E" w:rsidRDefault="00066BD7" w:rsidP="0028125E">
            <w:pPr>
              <w:pStyle w:val="Listenabsatz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637F0">
              <w:rPr>
                <w:rFonts w:cs="Tahoma"/>
                <w:sz w:val="24"/>
                <w:szCs w:val="24"/>
              </w:rPr>
              <w:t>Sozialrecht II</w:t>
            </w:r>
          </w:p>
          <w:p w:rsidR="00AB3E84" w:rsidRPr="0028125E" w:rsidRDefault="0028125E" w:rsidP="0028125E">
            <w:pPr>
              <w:pStyle w:val="Listenabsatz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637F0">
              <w:rPr>
                <w:rFonts w:ascii="Calibri" w:eastAsia="Times New Roman" w:hAnsi="Calibri" w:cs="Tahoma"/>
                <w:sz w:val="24"/>
                <w:szCs w:val="24"/>
              </w:rPr>
              <w:t xml:space="preserve">Europäisches und Internationales </w:t>
            </w:r>
            <w:r>
              <w:rPr>
                <w:rFonts w:ascii="Calibri" w:eastAsia="Times New Roman" w:hAnsi="Calibri" w:cs="Tahoma"/>
                <w:sz w:val="24"/>
                <w:szCs w:val="24"/>
              </w:rPr>
              <w:t>Sozial</w:t>
            </w:r>
            <w:r w:rsidRPr="002637F0">
              <w:rPr>
                <w:rFonts w:ascii="Calibri" w:eastAsia="Times New Roman" w:hAnsi="Calibri" w:cs="Tahoma"/>
                <w:sz w:val="24"/>
                <w:szCs w:val="24"/>
              </w:rPr>
              <w:t>recht</w:t>
            </w:r>
          </w:p>
          <w:p w:rsidR="0028125E" w:rsidRPr="002637F0" w:rsidRDefault="0028125E" w:rsidP="0028125E">
            <w:pPr>
              <w:pStyle w:val="Listenabsatz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sz w:val="24"/>
                <w:szCs w:val="24"/>
              </w:rPr>
              <w:t>Seminar</w:t>
            </w:r>
          </w:p>
        </w:tc>
        <w:tc>
          <w:tcPr>
            <w:tcW w:w="4809" w:type="dxa"/>
            <w:tcBorders>
              <w:top w:val="single" w:sz="8" w:space="0" w:color="000000" w:themeColor="text1"/>
            </w:tcBorders>
          </w:tcPr>
          <w:p w:rsidR="00AB3E84" w:rsidRDefault="00AB3E84" w:rsidP="00AB3E84">
            <w:pPr>
              <w:pStyle w:val="Listenabsatz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:rsidR="00AB3E84" w:rsidRDefault="000277FA" w:rsidP="00CB1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</w:tbl>
    <w:p w:rsidR="007D59BA" w:rsidRDefault="00E10F2B"/>
    <w:sectPr w:rsidR="007D59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8BA"/>
    <w:multiLevelType w:val="hybridMultilevel"/>
    <w:tmpl w:val="FA10D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637FDF1-ED39-4C84-9B39-9073F47D72DD}"/>
    <w:docVar w:name="dgnword-eventsink" w:val="209718624"/>
  </w:docVars>
  <w:rsids>
    <w:rsidRoot w:val="00AB3E84"/>
    <w:rsid w:val="000277FA"/>
    <w:rsid w:val="00066BD7"/>
    <w:rsid w:val="002326F2"/>
    <w:rsid w:val="002637F0"/>
    <w:rsid w:val="0028125E"/>
    <w:rsid w:val="003A7BFE"/>
    <w:rsid w:val="00523DD0"/>
    <w:rsid w:val="00594329"/>
    <w:rsid w:val="006C27BE"/>
    <w:rsid w:val="00AB3E84"/>
    <w:rsid w:val="00BB390E"/>
    <w:rsid w:val="00CB16AA"/>
    <w:rsid w:val="00D77CD4"/>
    <w:rsid w:val="00D9618A"/>
    <w:rsid w:val="00DD0DEC"/>
    <w:rsid w:val="00DF593B"/>
    <w:rsid w:val="00E10F2B"/>
    <w:rsid w:val="00E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418F-4D48-4528-A920-3F11563A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3E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">
    <w:name w:val="Light List"/>
    <w:basedOn w:val="NormaleTabelle"/>
    <w:uiPriority w:val="61"/>
    <w:rsid w:val="00AB3E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nabsatz">
    <w:name w:val="List Paragraph"/>
    <w:basedOn w:val="Standard"/>
    <w:uiPriority w:val="34"/>
    <w:qFormat/>
    <w:rsid w:val="00AB3E84"/>
    <w:pPr>
      <w:ind w:left="720"/>
      <w:contextualSpacing/>
    </w:pPr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C87FC163.dotm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Georg-August-Universitaet Goettingen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ventringer</dc:creator>
  <cp:keywords/>
  <dc:description/>
  <cp:lastModifiedBy>Rüdiger Krause</cp:lastModifiedBy>
  <cp:revision>13</cp:revision>
  <cp:lastPrinted>2013-11-01T18:37:00Z</cp:lastPrinted>
  <dcterms:created xsi:type="dcterms:W3CDTF">2013-07-15T09:07:00Z</dcterms:created>
  <dcterms:modified xsi:type="dcterms:W3CDTF">2016-01-20T09:32:00Z</dcterms:modified>
</cp:coreProperties>
</file>